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55242" w:rsidRPr="00C55242" w:rsidRDefault="00C55242" w:rsidP="00C55242">
      <w:pPr>
        <w:spacing w:after="0" w:line="240" w:lineRule="auto"/>
        <w:jc w:val="center"/>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caps/>
          <w:kern w:val="0"/>
          <w:sz w:val="24"/>
          <w:szCs w:val="24"/>
          <w:lang w:val="ru-RU"/>
          <w14:ligatures w14:val="none"/>
        </w:rPr>
        <w:t>УКАЗ ПРЕЗИДЕНТА РЕСПУБЛИКИ БЕЛАРУСЬ</w:t>
      </w:r>
    </w:p>
    <w:p w:rsidR="00C55242" w:rsidRPr="00C55242" w:rsidRDefault="00C55242" w:rsidP="00C55242">
      <w:pPr>
        <w:spacing w:after="0" w:line="240" w:lineRule="auto"/>
        <w:jc w:val="center"/>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15 октября 2007 г. № 498</w:t>
      </w:r>
    </w:p>
    <w:p w:rsidR="00C55242" w:rsidRPr="00C55242" w:rsidRDefault="00C55242" w:rsidP="00C55242">
      <w:pPr>
        <w:spacing w:before="240" w:after="240" w:line="240" w:lineRule="auto"/>
        <w:ind w:right="2268"/>
        <w:rPr>
          <w:rFonts w:ascii="Times New Roman" w:eastAsia="Times New Roman" w:hAnsi="Times New Roman" w:cs="Times New Roman"/>
          <w:b/>
          <w:bCs/>
          <w:kern w:val="0"/>
          <w:sz w:val="28"/>
          <w:szCs w:val="28"/>
          <w:lang w:val="ru-RU"/>
          <w14:ligatures w14:val="none"/>
        </w:rPr>
      </w:pPr>
      <w:r w:rsidRPr="00C55242">
        <w:rPr>
          <w:rFonts w:ascii="Times New Roman" w:eastAsia="Times New Roman" w:hAnsi="Times New Roman" w:cs="Times New Roman"/>
          <w:b/>
          <w:bCs/>
          <w:kern w:val="0"/>
          <w:sz w:val="28"/>
          <w:szCs w:val="28"/>
          <w:lang w:val="ru-RU"/>
          <w14:ligatures w14:val="none"/>
        </w:rPr>
        <w:t>О дополнительных мерах по работе с обращениями граждан и юридических лиц</w:t>
      </w:r>
    </w:p>
    <w:p w:rsidR="00C55242" w:rsidRPr="00C55242" w:rsidRDefault="00C55242" w:rsidP="00C55242">
      <w:pPr>
        <w:spacing w:after="0" w:line="240" w:lineRule="auto"/>
        <w:ind w:left="1021"/>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Изменения и дополнения:</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18 июня 2009 г. № 323 (Национальный реестр правовых актов Республики Беларусь, 2009 г., № 149, 1/10795) &lt;P30900323&gt;;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11 декабря 2009 г. № 622 (Национальный реестр правовых актов Республики Беларусь, 2009 г., № 302, 1/11207) &lt;P30900622&gt;;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22 марта 2011 г. № 119 (Национальный реестр правовых актов Республики Беларусь, 2011 г., № 36, 1/12439) &lt;P31100119&gt;;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5 апреля 2012 г. № 157 (Национальный реестр правовых актов Республики Беларусь, 2012 г., № 42, 1/13425) &lt;P31200157&gt;;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29 ноября 2013 г. № 529 (Национальный правовой Интернет-портал Республики Беларусь, 30.11.2013, 1/14649) &lt;P31300529&gt;;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24 июля 2014 г. № 368 (Национальный правовой Интернет-портал Республики Беларусь, 29.07.2014, 1/15187) &lt;P31400368&gt;;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 сентября 2014 г. № 426 (Национальный правовой Интернет-портал Республики Беларусь, 05.09.2014, 1/15259) &lt;P31400426&gt;;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13 ноября 2014 г. № 524 (Национальный правовой Интернет-портал Республики Беларусь, 15.11.2014, 1/15399) &lt;P31400524&gt;;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25 декабря 2014 г. № 615 (Национальный правовой Интернет-портал Республики Беларусь, 30.12.2014, 1/15537) &lt;P31400615&gt;;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27 апреля 2016 г. № 157 (Национальный правовой Интернет-портал Республики Беларусь, 29.04.2016, 1/16392) &lt;P31600157&gt; - внесены изменения и дополнения, вступившие в силу 30 апреля 2016 г., за исключением изменений и дополнений, которые вступят в силу 1 июля 2016 г.;</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27 апреля 2016 г. № 157 (Национальный правовой Интернет-портал Республики Беларусь, 29.04.2016, 1/16392) &lt;P31600157&gt; - внесены изменения и дополнения, вступившие в силу 30 апреля 2016 г. и 1 июля 2016 г.;</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3 июня 2016 г. № 188 (Национальный правовой Интернет-портал Республики Беларусь, 07.06.2016, 1/16439) &lt;P31600188&gt;;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23 декабря 2016 г. № 482 (Национальный правовой Интернет-портал Республики Беларусь, 27.12.2016, 1/16810) &lt;P31600482&gt;;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lastRenderedPageBreak/>
        <w:t>Указ Президента Республики Беларусь от 9 октября 2017 г. № 365 (Национальный правовой Интернет-портал Республики Беларусь, 11.10.2017, 1/17302) &lt;P31700365&gt;;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10 декабря 2018 г. № 474 (Национальный правовой Интернет-портал Республики Беларусь, 12.12.2018, 1/18064) &lt;P31800474&gt;;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26 декабря 2019 г. № 485 (Национальный правовой Интернет-портал Республики Беларусь, 01.01.2020, 1/18756) &lt;P31900485&gt;;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6 января 2021 г. № 9 (Национальный правовой Интернет-портал Республики Беларусь, 07.01.2021, 1/19446) &lt;P32100009&gt;;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25 мая 2021 г. № 196 (Национальный правовой Интернет-портал Республики Беларусь, 28.05.2021, 1/19701) &lt;P32100196&gt;;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14 ноября 2022 г. № 405 (Национальный правовой Интернет-портал Республики Беларусь, 17.11.2022, 1/20609) &lt;P32200405&gt;;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23 июня 2023 г. № 180 (Национальный правовой Интернет-портал Республики Беларусь, 28.06.2023, 1/20899) &lt;P32300180&gt;;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14 ноября 2023 г. № 353 (Национальный правовой Интернет-портал Республики Беларусь, 16.11.2023, 1/21098) &lt;P32300353&gt;;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3 апреля 2025 г. № 141 (Национальный правовой Интернет-портал Республики Беларусь, 05.04.2025, 1/21902) &lt;P32500141&gt;;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xml:space="preserve">Указ Президента Республики Беларусь от 10 сентября 2025 г. № 329 (Национальный правовой Интернет-портал Республики Беларусь, 13.09.2025, 3-1/22125) &lt;P32500329&gt; - </w:t>
      </w:r>
      <w:r w:rsidRPr="00C55242">
        <w:rPr>
          <w:rFonts w:ascii="Times New Roman" w:eastAsia="Times New Roman" w:hAnsi="Times New Roman" w:cs="Times New Roman"/>
          <w:b/>
          <w:bCs/>
          <w:kern w:val="0"/>
          <w:sz w:val="24"/>
          <w:szCs w:val="24"/>
          <w:lang w:val="ru-RU"/>
          <w14:ligatures w14:val="none"/>
        </w:rPr>
        <w:t>изменения вступают в силу 1 января 2026 г.</w:t>
      </w:r>
      <w:r w:rsidRPr="00C55242">
        <w:rPr>
          <w:rFonts w:ascii="Times New Roman" w:eastAsia="Times New Roman" w:hAnsi="Times New Roman" w:cs="Times New Roman"/>
          <w:kern w:val="0"/>
          <w:sz w:val="24"/>
          <w:szCs w:val="24"/>
          <w:lang w:val="ru-RU"/>
          <w14:ligatures w14:val="none"/>
        </w:rPr>
        <w:t>;</w:t>
      </w:r>
    </w:p>
    <w:p w:rsidR="00C55242" w:rsidRPr="00C55242" w:rsidRDefault="00C55242" w:rsidP="00C55242">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Указ Президента Республики Беларусь от 15 декабря 2025 г. № 432 (Национальный правовой Интернет-портал Республики Беларусь, 19.12.2025, 3-2/22247) &lt;P32500432&gt;</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В целях принятия дополнительных мер по защите и обеспечению реализации прав и законных интересов граждан и юридических лиц, надлежащему рассмотрению их обращений государственными органами и иными организациями: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 Установить, что:</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1.1. обращения (предложения, заявления, жалобы) граждан, в том числе индивидуальных предпринимателей, и юридических лиц (далее, если не указано иное, – обращения) независимо от того, в какой государственный орган или иную организацию (далее, если не указано иное, – организация) они поступили, первоначально подлежат рассмотрению по существу в соответствии с компетенцией:</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xml:space="preserve">в местных исполнительных и распорядительных органах, подчиненных им организациях, территориальных подразделениях (органах) и организациях, подчиненных или входящих в состав (систему) республиканских органов государственного управления и иных организаций, подчиненных Правительству Республики Беларусь, другим государственным органам, иным организациям, осуществляющих свою деятельность и расположенных в пределах той </w:t>
      </w:r>
      <w:r w:rsidRPr="00C55242">
        <w:rPr>
          <w:rFonts w:ascii="Times New Roman" w:eastAsia="Times New Roman" w:hAnsi="Times New Roman" w:cs="Times New Roman"/>
          <w:kern w:val="0"/>
          <w:sz w:val="24"/>
          <w:szCs w:val="24"/>
          <w:lang w:val="ru-RU"/>
          <w14:ligatures w14:val="none"/>
        </w:rPr>
        <w:lastRenderedPageBreak/>
        <w:t>административно-территориальной единицы, на территории которой возникли вопросы, изложенные в обращениях (далее – местные органы);</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в других организациях, если вопросы, изложенные в обращениях, относятся к исключительной компетенции этих организаций.</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Обращения, поступившие на имя Президента Республики Беларусь, в том числе по вопросам обжалования решений государственных органов, иных организаций, подчиненных (подотчетных) непосредственно Президенту Республики Беларусь, могут рассматриваться от имени Президента Республики Беларусь Администрацией Президента Республики Беларусь;</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1.2.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2. Утвердить прилагаемый перечень государственных органов, иных организаций, ответственных за рассмотрение обращений по существу в отдельных сферах жизнедеятельности населения (далее – перечень).</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Обращения подлежат рассмотрению по существу в указанных в перечне местных органах, если изложенные в них вопросы относятся к соответствующим сферам жизнедеятельности населения.</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При этом решения этих местных органов по обращениям могут быть обжалованы в указанные в перечне соответствующие вышестоящие органы.</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3.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4.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5.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6.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7. В установленное законодательством время проведения по графику личного приема граждан, в том числе индивидуальных предпринимателей, их представителей, представителей юридических лиц, запрещено привлечение руководителей республиканских органов государственного управления и местных исполнительных и распорядительных органов к другим мероприятиям, если иное не предусмотрено Президентом Республики Беларусь или Премьер-министром Республики Беларусь.</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Персональную ответственность за организацию личного приема лиц, указанных в части первой настоящего пункта, в установленное законодательством время несут руководители республиканских органов государственного управления и местных исполнительных и распорядительных органов.</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8.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8</w:t>
      </w:r>
      <w:r w:rsidRPr="00C55242">
        <w:rPr>
          <w:rFonts w:ascii="Times New Roman" w:eastAsia="Times New Roman" w:hAnsi="Times New Roman" w:cs="Times New Roman"/>
          <w:kern w:val="0"/>
          <w:sz w:val="24"/>
          <w:szCs w:val="24"/>
          <w:vertAlign w:val="superscript"/>
          <w:lang w:val="ru-RU"/>
          <w14:ligatures w14:val="none"/>
        </w:rPr>
        <w:t>1</w:t>
      </w:r>
      <w:r w:rsidRPr="00C55242">
        <w:rPr>
          <w:rFonts w:ascii="Times New Roman" w:eastAsia="Times New Roman" w:hAnsi="Times New Roman" w:cs="Times New Roman"/>
          <w:kern w:val="0"/>
          <w:sz w:val="24"/>
          <w:szCs w:val="24"/>
          <w:lang w:val="ru-RU"/>
          <w14:ligatures w14:val="none"/>
        </w:rPr>
        <w:t>.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9. Вышестоящие органы при осуществлении управления деятельностью подчиненных (входящих в состав, систему) организаций анализируют эффективность работы с обращениями и вырабатывают предложения о ее повышении.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При этом анализ эффективности работы с обращениями в отношении: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структурных подразделений областных, Минского городского исполнительных комитетов, осуществляющих государственно-властные полномочия в определенной отрасли (сфере деятельности), проводится областными, Минским городским исполнительными комитетами и соответствующими республиканскими органами государственного управления;</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структурных подразделений иных местных исполнительных и распорядительных органов, осуществляющих государственно-властные полномочия в определенной отрасли (сфере деятельности), проводится вышестоящим по отношению к местному исполнительному и распорядительному органу, в структуру которого входят данные структурные подразделения, местным исполнительным и распорядительным органом и самим местным исполнительным и распорядительным органом.</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10. Исключен.</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lastRenderedPageBreak/>
        <w:t>11. Вышестоящий орган по каждому случаю ненадлежащего рассмотрения подчиненными или входящими в его состав (систему) организациями обращений направляет их руководителю представление о привлечении должностных лиц, допустивших нарушение порядка рассмотрения обращений, к дисциплинарной ответственности, а при выявлении в течение года повторного нарушения этими должностными лицами порядка рассмотрения обращений – представление о применении к данным лицам более строгой меры дисциплинарного взыскания вплоть до освобождения от занимаемой должности.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В случае выявления в подчиненных или входящих в состав (систему) организациях нарушений законодательства об обращениях граждан и юридических лиц вышестоящий орган принимает решение о привлечении к дисциплинарной ответственности руководителей этих организаций либо сообщает о таких нарушениях органам, ведущим административный процесс, для рассмотрения вопроса о привлечении виновных лиц к административной ответственности.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12. Совету Министров Республики Беларусь:</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12.1. совместно с областными, Минским городским исполнительными комитетами обеспечить:</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доведение положений настоящего Указа до населения, в том числе через широкое освещение в республиканских и местных средствах массовой информации;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в шестимесячный срок приведение актов законодательства в соответствие с настоящим Указом и принятие иных мер по его реализации;</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12.2. совместно с Национальным центром законопроектной деятельности при Президенте Республики Беларусь в шестимесячный срок подготовить и представить Президенту Республики Беларусь для внесения на рассмотрение Национального собрания Республики Беларусь проект закона Республики Беларусь о комплексном регулировании порядка рассмотрения обращений.</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13. До приведения актов законодательства в соответствие с настоящим Указом они применяются в части, не противоречащей данному Указу.</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14. Контроль за выполнением настоящего Указа возложить на Совет Министров Республики Беларусь и Комитет государственного контроля.</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15. Действие настоящего Указа распространяется на отношения, возникшие после его вступления в силу.</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16. Настоящий Указ вступает в силу через три месяца после его официального опубликования, за исключением пункта 12 и данного пункта, которые вступают в силу со дня официального опубликования этого Указа.</w:t>
      </w: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844"/>
        <w:gridCol w:w="4845"/>
      </w:tblGrid>
      <w:tr w:rsidR="00C55242" w:rsidRPr="00C55242" w:rsidTr="00C55242">
        <w:tc>
          <w:tcPr>
            <w:tcW w:w="2500" w:type="pct"/>
            <w:tcMar>
              <w:top w:w="0" w:type="dxa"/>
              <w:left w:w="6" w:type="dxa"/>
              <w:bottom w:w="0" w:type="dxa"/>
              <w:right w:w="6" w:type="dxa"/>
            </w:tcMar>
            <w:vAlign w:val="bottom"/>
            <w:hideMark/>
          </w:tcPr>
          <w:p w:rsidR="00C55242" w:rsidRPr="00C55242" w:rsidRDefault="00C55242" w:rsidP="00C55242">
            <w:pPr>
              <w:spacing w:after="0" w:line="240" w:lineRule="auto"/>
              <w:rPr>
                <w:rFonts w:ascii="Times New Roman" w:eastAsia="Times New Roman" w:hAnsi="Times New Roman" w:cs="Times New Roman"/>
                <w:kern w:val="0"/>
                <w:sz w:val="24"/>
                <w:szCs w:val="24"/>
                <w:lang/>
                <w14:ligatures w14:val="none"/>
              </w:rPr>
            </w:pPr>
            <w:r w:rsidRPr="00C55242">
              <w:rPr>
                <w:rFonts w:ascii="Times New Roman" w:eastAsia="Times New Roman" w:hAnsi="Times New Roman" w:cs="Times New Roman"/>
                <w:b/>
                <w:bCs/>
                <w:kern w:val="0"/>
                <w:lang/>
                <w14:ligatures w14:val="none"/>
              </w:rPr>
              <w:t>Президент Республики Беларусь</w:t>
            </w:r>
          </w:p>
        </w:tc>
        <w:tc>
          <w:tcPr>
            <w:tcW w:w="2500" w:type="pct"/>
            <w:tcMar>
              <w:top w:w="0" w:type="dxa"/>
              <w:left w:w="6" w:type="dxa"/>
              <w:bottom w:w="0" w:type="dxa"/>
              <w:right w:w="6" w:type="dxa"/>
            </w:tcMar>
            <w:vAlign w:val="bottom"/>
            <w:hideMark/>
          </w:tcPr>
          <w:p w:rsidR="00C55242" w:rsidRPr="00C55242" w:rsidRDefault="00C55242" w:rsidP="00C55242">
            <w:pPr>
              <w:spacing w:after="0" w:line="240" w:lineRule="auto"/>
              <w:jc w:val="right"/>
              <w:rPr>
                <w:rFonts w:ascii="Times New Roman" w:eastAsia="Times New Roman" w:hAnsi="Times New Roman" w:cs="Times New Roman"/>
                <w:kern w:val="0"/>
                <w:sz w:val="24"/>
                <w:szCs w:val="24"/>
                <w:lang/>
                <w14:ligatures w14:val="none"/>
              </w:rPr>
            </w:pPr>
            <w:r w:rsidRPr="00C55242">
              <w:rPr>
                <w:rFonts w:ascii="Times New Roman" w:eastAsia="Times New Roman" w:hAnsi="Times New Roman" w:cs="Times New Roman"/>
                <w:b/>
                <w:bCs/>
                <w:kern w:val="0"/>
                <w:lang/>
                <w14:ligatures w14:val="none"/>
              </w:rPr>
              <w:t>А.Лукашенко</w:t>
            </w:r>
          </w:p>
        </w:tc>
      </w:tr>
    </w:tbl>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w:t>
      </w:r>
    </w:p>
    <w:p w:rsidR="00C55242" w:rsidRPr="00C55242" w:rsidRDefault="00C55242" w:rsidP="00C55242">
      <w:pPr>
        <w:spacing w:after="0" w:line="240" w:lineRule="auto"/>
        <w:rPr>
          <w:rFonts w:ascii="Times New Roman" w:eastAsia="Times New Roman" w:hAnsi="Times New Roman" w:cs="Times New Roman"/>
          <w:kern w:val="0"/>
          <w:sz w:val="24"/>
          <w:szCs w:val="24"/>
          <w:lang w:val="ru-RU"/>
          <w14:ligatures w14:val="none"/>
        </w:rPr>
        <w:sectPr w:rsidR="00C55242" w:rsidRPr="00C55242">
          <w:pgSz w:w="12240" w:h="15840"/>
          <w:pgMar w:top="1134" w:right="850" w:bottom="1134" w:left="1701" w:header="720" w:footer="720" w:gutter="0"/>
          <w:cols w:space="720"/>
        </w:sectPr>
      </w:pPr>
    </w:p>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lastRenderedPageBreak/>
        <w:t> </w:t>
      </w:r>
    </w:p>
    <w:tbl>
      <w:tblPr>
        <w:tblW w:w="5000" w:type="pct"/>
        <w:tblCellMar>
          <w:left w:w="0" w:type="dxa"/>
          <w:right w:w="0" w:type="dxa"/>
        </w:tblCellMar>
        <w:tblLook w:val="04A0" w:firstRow="1" w:lastRow="0" w:firstColumn="1" w:lastColumn="0" w:noHBand="0" w:noVBand="1"/>
      </w:tblPr>
      <w:tblGrid>
        <w:gridCol w:w="7016"/>
        <w:gridCol w:w="2339"/>
      </w:tblGrid>
      <w:tr w:rsidR="00C55242" w:rsidRPr="00C55242" w:rsidTr="00C55242">
        <w:tc>
          <w:tcPr>
            <w:tcW w:w="3750" w:type="pct"/>
            <w:tcMar>
              <w:top w:w="0" w:type="dxa"/>
              <w:left w:w="6" w:type="dxa"/>
              <w:bottom w:w="0" w:type="dxa"/>
              <w:right w:w="6" w:type="dxa"/>
            </w:tcMar>
            <w:hideMark/>
          </w:tcPr>
          <w:p w:rsidR="00C55242" w:rsidRPr="00C55242" w:rsidRDefault="00C55242" w:rsidP="00C55242">
            <w:pPr>
              <w:spacing w:after="0" w:line="240" w:lineRule="auto"/>
              <w:rPr>
                <w:rFonts w:ascii="Times New Roman" w:eastAsia="Times New Roman" w:hAnsi="Times New Roman" w:cs="Times New Roman"/>
                <w:kern w:val="0"/>
                <w:lang/>
                <w14:ligatures w14:val="none"/>
              </w:rPr>
            </w:pPr>
            <w:r w:rsidRPr="00C55242">
              <w:rPr>
                <w:rFonts w:ascii="Times New Roman" w:eastAsia="Times New Roman" w:hAnsi="Times New Roman" w:cs="Times New Roman"/>
                <w:kern w:val="0"/>
                <w:lang/>
                <w14:ligatures w14:val="none"/>
              </w:rPr>
              <w:t> </w:t>
            </w:r>
          </w:p>
        </w:tc>
        <w:tc>
          <w:tcPr>
            <w:tcW w:w="1250" w:type="pct"/>
            <w:tcMar>
              <w:top w:w="0" w:type="dxa"/>
              <w:left w:w="6" w:type="dxa"/>
              <w:bottom w:w="0" w:type="dxa"/>
              <w:right w:w="6" w:type="dxa"/>
            </w:tcMar>
            <w:hideMark/>
          </w:tcPr>
          <w:p w:rsidR="00C55242" w:rsidRPr="00C55242" w:rsidRDefault="00C55242" w:rsidP="00C55242">
            <w:pPr>
              <w:spacing w:after="120" w:line="240" w:lineRule="auto"/>
              <w:rPr>
                <w:rFonts w:ascii="Times New Roman" w:eastAsia="Times New Roman" w:hAnsi="Times New Roman" w:cs="Times New Roman"/>
                <w:kern w:val="0"/>
                <w:lang/>
                <w14:ligatures w14:val="none"/>
              </w:rPr>
            </w:pPr>
            <w:r w:rsidRPr="00C55242">
              <w:rPr>
                <w:rFonts w:ascii="Times New Roman" w:eastAsia="Times New Roman" w:hAnsi="Times New Roman" w:cs="Times New Roman"/>
                <w:kern w:val="0"/>
                <w:lang/>
                <w14:ligatures w14:val="none"/>
              </w:rPr>
              <w:t>УТВЕРЖДЕНО</w:t>
            </w:r>
          </w:p>
          <w:p w:rsidR="00C55242" w:rsidRPr="00C55242" w:rsidRDefault="00C55242" w:rsidP="00C55242">
            <w:pPr>
              <w:spacing w:after="0" w:line="240" w:lineRule="auto"/>
              <w:rPr>
                <w:rFonts w:ascii="Times New Roman" w:eastAsia="Times New Roman" w:hAnsi="Times New Roman" w:cs="Times New Roman"/>
                <w:kern w:val="0"/>
                <w:lang/>
                <w14:ligatures w14:val="none"/>
              </w:rPr>
            </w:pPr>
            <w:r w:rsidRPr="00C55242">
              <w:rPr>
                <w:rFonts w:ascii="Times New Roman" w:eastAsia="Times New Roman" w:hAnsi="Times New Roman" w:cs="Times New Roman"/>
                <w:kern w:val="0"/>
                <w:lang/>
                <w14:ligatures w14:val="none"/>
              </w:rPr>
              <w:t>Указ Президента</w:t>
            </w:r>
            <w:r w:rsidRPr="00C55242">
              <w:rPr>
                <w:rFonts w:ascii="Times New Roman" w:eastAsia="Times New Roman" w:hAnsi="Times New Roman" w:cs="Times New Roman"/>
                <w:kern w:val="0"/>
                <w:lang/>
                <w14:ligatures w14:val="none"/>
              </w:rPr>
              <w:br/>
              <w:t>Республики Беларусь</w:t>
            </w:r>
            <w:r w:rsidRPr="00C55242">
              <w:rPr>
                <w:rFonts w:ascii="Times New Roman" w:eastAsia="Times New Roman" w:hAnsi="Times New Roman" w:cs="Times New Roman"/>
                <w:kern w:val="0"/>
                <w:lang/>
                <w14:ligatures w14:val="none"/>
              </w:rPr>
              <w:br/>
              <w:t>15.10.2007 № 498</w:t>
            </w:r>
            <w:r w:rsidRPr="00C55242">
              <w:rPr>
                <w:rFonts w:ascii="Times New Roman" w:eastAsia="Times New Roman" w:hAnsi="Times New Roman" w:cs="Times New Roman"/>
                <w:kern w:val="0"/>
                <w:lang/>
                <w14:ligatures w14:val="none"/>
              </w:rPr>
              <w:br/>
              <w:t xml:space="preserve">(в редакции </w:t>
            </w:r>
            <w:r w:rsidRPr="00C55242">
              <w:rPr>
                <w:rFonts w:ascii="Times New Roman" w:eastAsia="Times New Roman" w:hAnsi="Times New Roman" w:cs="Times New Roman"/>
                <w:kern w:val="0"/>
                <w:lang/>
                <w14:ligatures w14:val="none"/>
              </w:rPr>
              <w:br/>
              <w:t>Указа Президента</w:t>
            </w:r>
            <w:r w:rsidRPr="00C55242">
              <w:rPr>
                <w:rFonts w:ascii="Times New Roman" w:eastAsia="Times New Roman" w:hAnsi="Times New Roman" w:cs="Times New Roman"/>
                <w:kern w:val="0"/>
                <w:lang/>
                <w14:ligatures w14:val="none"/>
              </w:rPr>
              <w:br/>
              <w:t>Республики Беларусь</w:t>
            </w:r>
            <w:r w:rsidRPr="00C55242">
              <w:rPr>
                <w:rFonts w:ascii="Times New Roman" w:eastAsia="Times New Roman" w:hAnsi="Times New Roman" w:cs="Times New Roman"/>
                <w:kern w:val="0"/>
                <w:lang/>
                <w14:ligatures w14:val="none"/>
              </w:rPr>
              <w:br/>
              <w:t>26.12.2019 № 485)</w:t>
            </w:r>
          </w:p>
        </w:tc>
      </w:tr>
    </w:tbl>
    <w:p w:rsidR="00C55242" w:rsidRPr="00C55242" w:rsidRDefault="00C55242" w:rsidP="00C55242">
      <w:pPr>
        <w:spacing w:before="240" w:after="240" w:line="240" w:lineRule="auto"/>
        <w:rPr>
          <w:rFonts w:ascii="Times New Roman" w:eastAsia="Times New Roman" w:hAnsi="Times New Roman" w:cs="Times New Roman"/>
          <w:b/>
          <w:bCs/>
          <w:kern w:val="0"/>
          <w:sz w:val="24"/>
          <w:szCs w:val="24"/>
          <w:lang w:val="ru-RU"/>
          <w14:ligatures w14:val="none"/>
        </w:rPr>
      </w:pPr>
      <w:r w:rsidRPr="00C55242">
        <w:rPr>
          <w:rFonts w:ascii="Times New Roman" w:eastAsia="Times New Roman" w:hAnsi="Times New Roman" w:cs="Times New Roman"/>
          <w:b/>
          <w:bCs/>
          <w:kern w:val="0"/>
          <w:sz w:val="24"/>
          <w:szCs w:val="24"/>
          <w:lang w:val="ru-RU"/>
          <w14:ligatures w14:val="none"/>
        </w:rPr>
        <w:t>ПЕРЕЧЕНЬ</w:t>
      </w:r>
      <w:r w:rsidRPr="00C55242">
        <w:rPr>
          <w:rFonts w:ascii="Times New Roman" w:eastAsia="Times New Roman" w:hAnsi="Times New Roman" w:cs="Times New Roman"/>
          <w:b/>
          <w:bCs/>
          <w:kern w:val="0"/>
          <w:sz w:val="24"/>
          <w:szCs w:val="24"/>
          <w:lang w:val="ru-RU"/>
          <w14:ligatures w14:val="none"/>
        </w:rPr>
        <w:br/>
        <w:t>государственных органов, иных организаций, ответственных за рассмотрение обращений по существу в отдельных сферах жизнедеятельности населения</w:t>
      </w:r>
    </w:p>
    <w:tbl>
      <w:tblPr>
        <w:tblW w:w="5000" w:type="pct"/>
        <w:tblCellMar>
          <w:left w:w="0" w:type="dxa"/>
          <w:right w:w="0" w:type="dxa"/>
        </w:tblCellMar>
        <w:tblLook w:val="04A0" w:firstRow="1" w:lastRow="0" w:firstColumn="1" w:lastColumn="0" w:noHBand="0" w:noVBand="1"/>
      </w:tblPr>
      <w:tblGrid>
        <w:gridCol w:w="3109"/>
        <w:gridCol w:w="4008"/>
        <w:gridCol w:w="2238"/>
      </w:tblGrid>
      <w:tr w:rsidR="00C55242" w:rsidRPr="00C55242" w:rsidTr="00C55242">
        <w:trPr>
          <w:trHeight w:val="240"/>
        </w:trPr>
        <w:tc>
          <w:tcPr>
            <w:tcW w:w="1662" w:type="pct"/>
            <w:vMerge w:val="restar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C55242" w:rsidRPr="00C55242" w:rsidRDefault="00C55242" w:rsidP="00C55242">
            <w:pPr>
              <w:spacing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Сферы жизнедеятельности населения</w:t>
            </w:r>
          </w:p>
        </w:tc>
        <w:tc>
          <w:tcPr>
            <w:tcW w:w="3338" w:type="pct"/>
            <w:gridSpan w:val="2"/>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C55242" w:rsidRPr="00C55242" w:rsidRDefault="00C55242" w:rsidP="00C55242">
            <w:pPr>
              <w:spacing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Государственные органы, иные организации</w:t>
            </w:r>
          </w:p>
        </w:tc>
      </w:tr>
      <w:tr w:rsidR="00C55242" w:rsidRPr="00C55242" w:rsidTr="00C55242">
        <w:trPr>
          <w:trHeight w:val="240"/>
        </w:trPr>
        <w:tc>
          <w:tcPr>
            <w:tcW w:w="0" w:type="auto"/>
            <w:vMerge/>
            <w:tcBorders>
              <w:top w:val="single" w:sz="4" w:space="0" w:color="auto"/>
              <w:bottom w:val="single" w:sz="4" w:space="0" w:color="auto"/>
              <w:right w:val="single" w:sz="4" w:space="0" w:color="auto"/>
            </w:tcBorders>
            <w:vAlign w:val="center"/>
            <w:hideMark/>
          </w:tcPr>
          <w:p w:rsidR="00C55242" w:rsidRPr="00C55242" w:rsidRDefault="00C55242" w:rsidP="00C55242">
            <w:pPr>
              <w:spacing w:after="0" w:line="240" w:lineRule="auto"/>
              <w:rPr>
                <w:rFonts w:ascii="Times New Roman" w:eastAsia="Times New Roman" w:hAnsi="Times New Roman" w:cs="Times New Roman"/>
                <w:kern w:val="0"/>
                <w:sz w:val="20"/>
                <w:szCs w:val="20"/>
                <w:lang/>
                <w14:ligatures w14:val="none"/>
              </w:rPr>
            </w:pPr>
          </w:p>
        </w:tc>
        <w:tc>
          <w:tcPr>
            <w:tcW w:w="214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C55242" w:rsidRPr="00C55242" w:rsidRDefault="00C55242" w:rsidP="00C55242">
            <w:pPr>
              <w:spacing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местный орган (должностное лицо)</w:t>
            </w:r>
          </w:p>
        </w:tc>
        <w:tc>
          <w:tcPr>
            <w:tcW w:w="1196"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C55242" w:rsidRPr="00C55242" w:rsidRDefault="00C55242" w:rsidP="00C55242">
            <w:pPr>
              <w:spacing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вышестоящий орган</w:t>
            </w:r>
          </w:p>
        </w:tc>
      </w:tr>
      <w:tr w:rsidR="00C55242" w:rsidRPr="00C55242" w:rsidTr="00C55242">
        <w:trPr>
          <w:trHeight w:val="240"/>
        </w:trPr>
        <w:tc>
          <w:tcPr>
            <w:tcW w:w="1662" w:type="pct"/>
            <w:tcBorders>
              <w:top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 Сельское хозяйство и продовольствие</w:t>
            </w:r>
          </w:p>
        </w:tc>
        <w:tc>
          <w:tcPr>
            <w:tcW w:w="2142" w:type="pct"/>
            <w:tcBorders>
              <w:top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сельского хозяйства и продовольствия структурные подразделения районных исполнительных комитетов</w:t>
            </w:r>
          </w:p>
        </w:tc>
        <w:tc>
          <w:tcPr>
            <w:tcW w:w="1196" w:type="pct"/>
            <w:tcBorders>
              <w:top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сельского хозяйства и продовольствия структурные подразделения областных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сельского хозяйства и продовольствия</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 Труд, занятость и социальная защита,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условия и охрана труда, оплата труда, защита трудовых прав работников, социальное партнерство, иные вопросы в сфере трудовых правоотношений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назначение и выплата пособий, пенсий, иных социальных выплат, государственное социальное страхование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предоставление государственной адресной социальной помощи, государственное социальное обеспечение, иные вопросы социального обеспечения граждан</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содействие занятости граждан, проведение общественных оплачиваемых работ, назначение и выплата пособий по безработице, иные вопросы в сфере занятости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обеспечение государственных минимальных социальных стандартов в области оплаты </w:t>
            </w:r>
            <w:r w:rsidRPr="00C55242">
              <w:rPr>
                <w:rFonts w:ascii="Times New Roman" w:eastAsia="Times New Roman" w:hAnsi="Times New Roman" w:cs="Times New Roman"/>
                <w:kern w:val="0"/>
                <w:sz w:val="20"/>
                <w:szCs w:val="20"/>
                <w:lang/>
                <w14:ligatures w14:val="none"/>
              </w:rPr>
              <w:lastRenderedPageBreak/>
              <w:t>труда, пенсионного обеспечения, социальной поддержки и социального обслуживания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демографическая безопасность, улучшение социально-экономических условий жизнедеятельности семьи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осуществляющие государственно-властные полномочия в сфере труда, занятости и социальной защиты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Минского городского исполнительного комитета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районные, районные в городах отделы (секторы) областных, Минского городского управлений Фонда социальной защиты населения Министерства труда и социальной защиты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межрайонные отделы, областные и Минское городское управления Департамента государственной инспекции труда Министерства труда и социальной защиты</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труда, занятости и социальной защиты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Минское городское управления Фонда социальной защиты населения Министерства труда и социальной защиты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Фонд социальной защиты населения Министерства труда и социальной защиты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управления Департамента государственной инспекции труда Министерства труда и социальной защиты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Департамент государственной </w:t>
            </w:r>
            <w:r w:rsidRPr="00C55242">
              <w:rPr>
                <w:rFonts w:ascii="Times New Roman" w:eastAsia="Times New Roman" w:hAnsi="Times New Roman" w:cs="Times New Roman"/>
                <w:kern w:val="0"/>
                <w:sz w:val="20"/>
                <w:szCs w:val="20"/>
                <w:lang/>
                <w14:ligatures w14:val="none"/>
              </w:rPr>
              <w:lastRenderedPageBreak/>
              <w:t>инспекции труда Министерства труда и социальной защиты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труда и социальной защиты</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3. Архитектура, градостроительство и строительство, в том числе: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выдача разрешительной документации в сфере архитектуры, градостроительства и строительства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размещение объектов строительства на соответствующей территории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индивидуальное и коллективное жилищное строительство</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области архитектурной, строительной и градостроительной деятельности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 Минске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области архитектурной, градостроительной и строительной деятельности структурные подразделения областных, Минского городского исполнительных комитетов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строительный надзор</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специализированная инспекция Департамента контроля и надзора за строительством Государственного комитета по стандартизации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инспекции Департамента контроля и надзора за строительством Государственного комитета по стандартизации по областям и г. Минску</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Департамент контроля и надзора за строительством Государственного комитета по стандартизации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комитет по стандартизации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вопросы в сфере строительства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предоставление государственной поддержки при строительстве (реконструкции) или приобретении жилых помещений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организация и застройка территорий садоводческих товариществ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области архитектурной, градостроительной и строительной деятельности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 Минске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области архитектурной, градостроительной и строительной деятельности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архитектуры и строительства</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4. Торговое и бытовое обслуживание и оказание услуг населению,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защита прав потребителей, за исключением защиты прав потребителей услуг, оказываемых микрофинансовыми организациями, иными </w:t>
            </w:r>
            <w:r w:rsidRPr="00C55242">
              <w:rPr>
                <w:rFonts w:ascii="Times New Roman" w:eastAsia="Times New Roman" w:hAnsi="Times New Roman" w:cs="Times New Roman"/>
                <w:kern w:val="0"/>
                <w:sz w:val="20"/>
                <w:szCs w:val="20"/>
                <w:lang/>
                <w14:ligatures w14:val="none"/>
              </w:rPr>
              <w:lastRenderedPageBreak/>
              <w:t>юридическими лицами, имеющими право в соответствии с законодательными актами осуществлять микрофинансовую деятельность, лизинговыми организациями, операторами сервисов онлайн-заимствования, поставщиками платежных услуг, а также банками и небанковскими кредитно-финансовыми организациями при осуществлении банковских операций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развитие торговли и сферы услуг на соответствующей территории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торговли и бытового обслуживания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торговли и услуг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 Минске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осуществляющие государственно-властные полномочия в сфере торговли и услуг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Министерство антимонопольного регулирования и торговли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5. Предоставление (привлечение) микрозаймов, в том числе услуги, оказываемые микрофинансовыми организациями, иными юридическими лицами, имеющими право в соответствии с законодательными актами осуществлять микрофинансовую деятельность, а также услуги, оказываемые лизинговыми организациями, операторами сервисов онлайн-заимствования, поставщиками платежных услуг, банками и небанковскими кредитно-финансовыми организациями при осуществлении банковских операций, и защита прав потребителей указанных услуг</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Национальный банк</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6. Здравоохранение,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работа организаций здравоохранения на соответствующей территории и качество оказания медицинской помощи населению</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лекарственными средствами, изделиями медицинского назначения и медицинской техникой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здравоохранения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санитарно-эпидемиологическое благополучие населения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здравоохранения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центры гигиены, эпидемиологии и общественного здоровья</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Минский городской центр гигиены и эпидемиологии</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здравоохранения</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7. Образование,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образования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функционирование учреждений образования на соответствующей территории и качество образования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создание условий для реализации гражданами, проживающими на соответствующей территории, права на образование в соответствии с законодательством</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установление опеки и попечительства над несовершеннолетними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образования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образования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образования</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8. Культура,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создание государственных организаций культуры и содействие развитию их материально-технической базы</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реализация государственных минимальных социальных стандартов в сфере культуры</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содействие созданию, распространению и (или) популяризации субъектами культурной деятельности культурных ценностей, организации и проведению культурных мероприятий, реализации культурных проектов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культуры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культуры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культуры</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9. Физическая культура и спорт,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вовлечение граждан в занятия физической культурой и спортом</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строительство и содержание физкультурно-спортивных сооружений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функционирования государственных организаций физической культуры и спорта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проведение спортивных, спортивно-массовых мероприятий</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спорта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спорта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спорта</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9</w:t>
            </w:r>
            <w:r w:rsidRPr="00C55242">
              <w:rPr>
                <w:rFonts w:ascii="Times New Roman" w:eastAsia="Times New Roman" w:hAnsi="Times New Roman" w:cs="Times New Roman"/>
                <w:kern w:val="0"/>
                <w:sz w:val="20"/>
                <w:szCs w:val="20"/>
                <w:vertAlign w:val="superscript"/>
                <w:lang/>
                <w14:ligatures w14:val="none"/>
              </w:rPr>
              <w:t>1</w:t>
            </w:r>
            <w:r w:rsidRPr="00C55242">
              <w:rPr>
                <w:rFonts w:ascii="Times New Roman" w:eastAsia="Times New Roman" w:hAnsi="Times New Roman" w:cs="Times New Roman"/>
                <w:kern w:val="0"/>
                <w:sz w:val="20"/>
                <w:szCs w:val="20"/>
                <w:lang/>
                <w14:ligatures w14:val="none"/>
              </w:rPr>
              <w:t>. Туризм, в том числе агроэкотуризм</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осуществляющие государственно-властные полномочия в сфере туризма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 xml:space="preserve">осуществляющие государственно-властные полномочия в сфере туризма структурные подразделения </w:t>
            </w:r>
            <w:r w:rsidRPr="00C55242">
              <w:rPr>
                <w:rFonts w:ascii="Times New Roman" w:eastAsia="Times New Roman" w:hAnsi="Times New Roman" w:cs="Times New Roman"/>
                <w:kern w:val="0"/>
                <w:sz w:val="20"/>
                <w:szCs w:val="20"/>
                <w:lang/>
                <w14:ligatures w14:val="none"/>
              </w:rPr>
              <w:lastRenderedPageBreak/>
              <w:t>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учреждение «Национальное агентство по туризму»</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10. Жилищно-коммунальное хозяйство и благоустройство территории,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жилищно-коммунального хозяйства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развития жилищного фонда и жилищного хозяйства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использование и содержание государственного и частного жилищных фондов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ведение учета граждан, нуждающихся в улучшении жилищных условий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целевого использования и сохранности жилых помещений государственного жилищного фонда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выделения льготных кредитов на капитальный ремонт и реконструкцию жилых помещений, строительство инженерных сетей, возведение хозяйственных помещений и построек, безналичных жилищных субсидий гражданам в соответствии с законодательством</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создание условий для обеспечения граждан жильем на соответствующей территории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обращение и использование именных приватизационных чеков «Жилье»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организации, осуществляющие эксплуатацию жилищного фонда и (или) предоставляющие жилищно-коммунальные услуги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жилищно-коммунального, городского хозяйства, благоустройства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жилищно-коммунального хозяйства структурные подразделения областных исполнительных комитетов, осуществляющее государственно-властные полномочия в сфере городского хозяйства структурное подразделение Минского городского исполнительного комитета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жилищно-коммунального хозяйства</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11. Обеспечение безопасности в связи с катастрофой на Чернобыльской АЭС,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вопросы обеспечения безопасности в связи с катастрофой на Чернобыльской АЭС</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обоснованность предоставления гражданам, пострадавшим от катастрофы на Чернобыльской АЭС, социальных льгот, прав и гарантий, предусмотренных законодательством</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местные администрации районов в городах</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(городов областного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Департамент по ядерной и радиационной безопасности Министерства по чрезвычайным ситуациям</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по чрезвычайным ситуациям</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12. Правопорядок, в том числе:</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безопасность дорожного движения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приобретение и прекращение гражданства Республики Беларусь, выезд из Республики Беларусь и въезд в Республику Беларусь, временное пребывание, временное и постоянное проживание иностранных граждан и лиц без гражданства в Республике Беларусь, предоставление статуса беженца, дополнительной защиты, убежища и временной защиты в Республике Беларусь, внешняя трудовая миграция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исполнение уголовных наказаний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оборот гражданского оружия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управления, отделы внутренних дел городских, районных исполнительных комитетов (местных администраций районов в городах)</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управления Департамента исполнения наказаний Министерства внутренних дел по областям, по г. Минску и Минской области</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главное управление внутренних дел Минского городского исполнительного комитета, управления внутренних дел областных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Департамент исполнения наказаний Министерства внутренних дел</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внутренних дел</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13. Сфера юстиции, в том числе: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регистрация актов гражданского состояния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отделы записи актов гражданского состояния местных администраций районов в городах, районных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отделы записи актов гражданского состояния, дома (дворцы) гражданских обрядов городских, в том числе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главные управления юстиции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организация работы органов принудительного исполнения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руководители органов принудительного исполнения, главные управления юстиции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соблюдение законодательства о нотариате, об адвокатуре, об оказании юридических услуг, об осуществлении риэлтерской деятельности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главные управления юстиции областных, Минского городского исполнительных комитетов (за исключением вопросов соблюдения законодательства об адвокатуре)</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государственная регистрация и ликвидация (прекращение деятельности) субъектов хозяйствования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областные исполнительные комитеты, другие местные исполнительные и распорядительные органы в случае делегирования им областными исполнительными комитетами своих полномочий, Брестский, Витебский, Гомельский, Гродненский, Минский и Могилевский городские исполнительные комитеты, администрации районов в городах в случае делегирования им названными </w:t>
            </w:r>
            <w:r w:rsidRPr="00C55242">
              <w:rPr>
                <w:rFonts w:ascii="Times New Roman" w:eastAsia="Times New Roman" w:hAnsi="Times New Roman" w:cs="Times New Roman"/>
                <w:kern w:val="0"/>
                <w:sz w:val="20"/>
                <w:szCs w:val="20"/>
                <w:lang/>
                <w14:ligatures w14:val="none"/>
              </w:rPr>
              <w:lastRenderedPageBreak/>
              <w:t>городскими исполнительными комитетами своих полномочий</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 Министерство финансов, Национальный банк</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администрации свободных экономических зон, администрация Китайско-Белорусского индустриального парка «Великий камень»</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Министерство юстиции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финансов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Национальный банк</w:t>
            </w:r>
          </w:p>
        </w:tc>
      </w:tr>
      <w:tr w:rsidR="00C55242" w:rsidRPr="00C55242" w:rsidTr="00C55242">
        <w:trPr>
          <w:trHeight w:val="240"/>
        </w:trPr>
        <w:tc>
          <w:tcPr>
            <w:tcW w:w="1662" w:type="pct"/>
            <w:vMerge w:val="restar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архивное дело и делопроизводство</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областные и зональные </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государственные архивы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архивного дела и делопроизводства структурные подразделения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архивного дела и делопроизводства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w:t>
            </w:r>
          </w:p>
        </w:tc>
      </w:tr>
      <w:tr w:rsidR="00C55242" w:rsidRPr="00C55242" w:rsidTr="00C55242">
        <w:trPr>
          <w:trHeight w:val="240"/>
        </w:trPr>
        <w:tc>
          <w:tcPr>
            <w:tcW w:w="0" w:type="auto"/>
            <w:vMerge/>
            <w:vAlign w:val="center"/>
            <w:hideMark/>
          </w:tcPr>
          <w:p w:rsidR="00C55242" w:rsidRPr="00C55242" w:rsidRDefault="00C55242" w:rsidP="00C55242">
            <w:pPr>
              <w:spacing w:after="0" w:line="240" w:lineRule="auto"/>
              <w:rPr>
                <w:rFonts w:ascii="Times New Roman" w:eastAsia="Times New Roman" w:hAnsi="Times New Roman" w:cs="Times New Roman"/>
                <w:kern w:val="0"/>
                <w:sz w:val="20"/>
                <w:szCs w:val="20"/>
                <w:lang/>
                <w14:ligatures w14:val="none"/>
              </w:rPr>
            </w:pP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республиканские архивные учреждения</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Департамент по архивам и делопроизводству Министерства юстиции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юстиции</w:t>
            </w:r>
          </w:p>
        </w:tc>
      </w:tr>
      <w:tr w:rsidR="00C55242" w:rsidRPr="00C55242" w:rsidTr="00C55242">
        <w:trPr>
          <w:trHeight w:val="240"/>
        </w:trPr>
        <w:tc>
          <w:tcPr>
            <w:tcW w:w="0" w:type="auto"/>
            <w:vMerge/>
            <w:vAlign w:val="center"/>
            <w:hideMark/>
          </w:tcPr>
          <w:p w:rsidR="00C55242" w:rsidRPr="00C55242" w:rsidRDefault="00C55242" w:rsidP="00C55242">
            <w:pPr>
              <w:spacing w:after="0" w:line="240" w:lineRule="auto"/>
              <w:rPr>
                <w:rFonts w:ascii="Times New Roman" w:eastAsia="Times New Roman" w:hAnsi="Times New Roman" w:cs="Times New Roman"/>
                <w:kern w:val="0"/>
                <w:sz w:val="20"/>
                <w:szCs w:val="20"/>
                <w:lang/>
                <w14:ligatures w14:val="none"/>
              </w:rPr>
            </w:pP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территориальные (городские или районные) архивы местных исполнительных и распорядительных органов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(городов областного подчинения), районные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14. Судебная деятельность, в том числе вопросы организации работы:</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(городских) судов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председатели соответствующих судов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суды, Верховный Суд Республики Беларусь</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областных (Минского городского) судов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председатели соответствующих судов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Верховный Суд Республики Беларусь</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экономических судов областей (города Минска)</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председатели соответствующих судов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Апелляционный экономический суд,</w:t>
            </w:r>
            <w:r w:rsidRPr="00C55242">
              <w:rPr>
                <w:rFonts w:ascii="Times New Roman" w:eastAsia="Times New Roman" w:hAnsi="Times New Roman" w:cs="Times New Roman"/>
                <w:kern w:val="0"/>
                <w:sz w:val="20"/>
                <w:szCs w:val="20"/>
                <w:lang/>
                <w14:ligatures w14:val="none"/>
              </w:rPr>
              <w:br/>
              <w:t>Верховный Суд Республики Беларусь</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Апелляционного экономического суда</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председатель Апелляционного экономического суда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Верховный Суд Республики Беларусь</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15. Сфера организации и обеспечения оказания юридической помощи, в том числе: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вопросы нотариальной деятельности (за исключением обжалования законности совершенных нотариусами </w:t>
            </w:r>
            <w:r w:rsidRPr="00C55242">
              <w:rPr>
                <w:rFonts w:ascii="Times New Roman" w:eastAsia="Times New Roman" w:hAnsi="Times New Roman" w:cs="Times New Roman"/>
                <w:kern w:val="0"/>
                <w:sz w:val="20"/>
                <w:szCs w:val="20"/>
                <w:lang/>
                <w14:ligatures w14:val="none"/>
              </w:rPr>
              <w:lastRenderedPageBreak/>
              <w:t>нотариальных действий или отказа в их совершении)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областные, Минская городская нотариальные палаты Белорусской нотариальной палаты</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Белорусская нотариальная палата</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вопросы адвокатской деятельности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Минская городская коллегии адвокатов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Белорусская республиканская коллегия адвокатов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16. Энергетика и топливо, включая вопросы:</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газоснабжения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производственные республиканские унитарные предприятия «Брестоблгаз», «Витебскоблгаз», «Гроднооблгаз», «Мингаз», «Минскоблгаз», «Могилевоблгаз», республиканское производственное унитарное предприятие «Гомельоблгаз», их структурные подразделения</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производственное объединение по топливу и газификации «Белтопгаз»</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учреждение «Государственный энергетический и газовый надзор»</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электроснабжения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республиканские унитарные предприятия электроэнергетики «Брестэнерго», «Витебскэнерго», «Гомельэнерго», «Гродноэнерго», «Минскэнерго», «Могилевэнерго», их филиалы «Электрические сети», «Энергосбыт», структурные подразделения филиалов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производственное объединение электроэнергетики «Белэнерго»</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учреждение «Государственный энергетический и газовый надзор»</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теплоснабжения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республиканские унитарные предприятия электроэнергетики «Брестэнерго», «Витебскэнерго», «Гомельэнерго», «Гродноэнерго», «Минскэнерго», «Могилевэнерго», их филиалы «Тепловые сети», «Энергосбыт», структурные подразделения филиалов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районных, городских (городов областного подчинения)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производственное объединение электроэнергетики «Белэнерго»</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жилищно-коммунального хозяйства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государственное учреждение «Государственный энергетический и газовый надзор»</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энергетики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обеспечения твердым топливом</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городская, районная топливоснабжающая организация</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областных, Минского городского исполнительных комитетов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17. Транспорт и коммуникации,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транспорта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принятие мер по надлежащему транспортному обслуживанию населения на соответствующей территории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использование автомобильных дорог на соответствующей территории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технический осмотр транспортных средств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операторы перевозок пассажиров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предприятия республиканских и местных автомобильных дорог</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местные администрации районов в городах</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(городов областного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республиканское унитарное сервисное предприятие «Белтехосмотр»</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транспорта и коммуникаций</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18. Молодежная политика,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развитие молодежных организаций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проведение мероприятий в области государственной молодежной политики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содействие в получении социальных льгот, прав и гарантий, предусмотренных законодательством для молодежи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образования</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19. Взаимоотношения государства с религиозными организациями, общественными объединениями граждан, относящих себя к национальным меньшинствам,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прав граждан на свободу совести и свободу вероисповедания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охрана и содействие в реализации прав граждан Республики Беларусь различных национальностей в сферах культуры, образования, языка, информационного обеспечения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Уполномоченный по делам религий и национальностей</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20. Экономика, финансы, исчисление и уплата обязательных платежей в бюджет в случаях, установленных актами Президента Республики Беларусь</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и финансов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и финансов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экономики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финансов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 xml:space="preserve">21. Предпринимательская и ремесленная деятельность (вопросы, не связанные с налогообложением)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экономики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22. Экономическая несостоятельность (банкротство), деятельность антикризисных управляющих </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экономики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экономики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23. Предпринимательская деятельность (вопросы, связанные с налогообложением), порядок приема средств платежа при продаже товаров, выполнении работ, оказании услуг, использования кассового и иного оборудования при приеме средств платежа, игорный бизнес, производство и оборот алкогольной, непищевой спиртосодержащей продукции, непищевого этилового спирта и табачных изделий, оборот табачного сырья, маркировка товаров унифицированными контрольными знаками или средствами идентификации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инспекции Министерства по налогам и сборам по областям и г. Минску</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по налогам и сборам</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24. Налогообложение (разъяснение налогового законодательства), исчисление и уплата обязательных платежей в бюджет, в том числе государственные целевые бюджетные фонды, в случаях, когда в соответствии с законодательными актами налоговые органы в отношении таких платежей пользуются правами и исполняют обязанности, установленные налоговым законодательством, декларирование физическими лицами доходов и имущества</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инспекции Министерства по налогам и сборам по районам, городам, районам в городах</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инспекции Министерства по налогам и сборам по областям и г. Минску</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по налогам и сборам</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25. Распоряжение государственным имуществом и его приватизация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городские (городов районного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(городов областного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районные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комитеты государственного имущества областных, Минского городского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областные, Минский городской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комитет по имуществу</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26. Государственная регистрация недвижимого имущества, прав на него и сделок с ним</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территориальные организации по государственной регистрации недвижимого имущества, прав на него и сделок с ним</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научно-производственное государственное республиканское унитарное предприятие «Национальное кадастровое агентство»</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комитет по имуществу</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27. Землеустройство и землепользование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сельские, поселковые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землеустройства структурные подразделения городских (городов областного подчинения), районных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землеустройства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Государственный комитет по имуществу</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28. Военная служба,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исполнение гражданами воинской обязанности (воинский учет, призыв на военную службу, выдача гражданину, в отношении которого принято решение о замене воинской службы на альтернативную службу, направления в орган по труду, занятости и социальной защите по месту жительства гражданина и информирование об этом Министерства труда и социальной защиты и органа по труду, занятости и социальной защите по месту жительства гражданина, прохождение военной службы по призыву, призыв на службу в резерве и прохождение службы в резерве, состояние в запасе, призыв на военные и специальные сборы и их прохождение)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поступление граждан на военную службу по контракту</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прохождение военной службы</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социальное обеспечение военнослужащих, гражданского персонала Вооруженных Сил, </w:t>
            </w:r>
            <w:r w:rsidRPr="00C55242">
              <w:rPr>
                <w:rFonts w:ascii="Times New Roman" w:eastAsia="Times New Roman" w:hAnsi="Times New Roman" w:cs="Times New Roman"/>
                <w:kern w:val="0"/>
                <w:sz w:val="20"/>
                <w:szCs w:val="20"/>
                <w:lang/>
                <w14:ligatures w14:val="none"/>
              </w:rPr>
              <w:lastRenderedPageBreak/>
              <w:t>граждан, уволенных с военной службы, и членов их семей</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увековечение памяти защитников Отечества и жертв войны, розыск архивных документов, подтверждающих участие граждан или членов их семей в Великой Отечественной войне, в боевых действиях на территории других государств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военные комиссариаты района (города) (обособленные подразделения военных комиссариатов), воинские части, военные учебные заведения, организации Вооруженных Сил</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органы государственной безопасности</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военные комиссариаты областей, г. Минска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обороны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Комитет государственной безопасности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29. Альтернативная служба,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направление на альтернативную службу</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прохождение альтернативной службы</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применение законодательства об альтернативной службе</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районные, городские (городов областного подчинения)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труда, занятости и социальной защиты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городских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Минского городского исполнительного комитета</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администрации районов в г. Минске</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труда, занятости и социальной защиты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труда и социальной защиты</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30. Связь и информатизация,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обеспечение государственных минимальных социальных стандартов в области связи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иные вопросы в области связи и информатизации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республиканское унитарное предприятие электросвязи «Белтелеком»</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республиканское унитарное предприятие почтовой связи «Белпочта»</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связи и информатизации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оказание услуг почтовой связи и электросвязи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районные узлы почтовой связи, филиалы республиканского унитарного предприятия почтовой связи «Белпочта», производство «Минская почта» республиканского унитарного предприятия почтовой связи «Белпочта», операторы почтовой связи (кроме республиканского унитарного предприятия почтовой связи «Белпочта»), районные узлы электросвязи, узлы электросвязи, зональные узлы электросвязи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филиалы республиканского унитарного предприятия электросвязи «Белтелеком», операторы электросвязи, поставщики услуг электросвязи (кроме республиканского унитарного предприятия электросвязи «Белтелеком»)</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республиканское унитарное предприятие почтовой связи «Белпочта»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республиканское унитарное предприятие электросвязи «Белтелеком»</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связи и информатизации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территории функционирования систем кабельного телевидения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 xml:space="preserve">осуществляющие государственно-властные полномочия в сфере идеологической работы и по делам молодежи структурные </w:t>
            </w:r>
            <w:r w:rsidRPr="00C55242">
              <w:rPr>
                <w:rFonts w:ascii="Times New Roman" w:eastAsia="Times New Roman" w:hAnsi="Times New Roman" w:cs="Times New Roman"/>
                <w:kern w:val="0"/>
                <w:sz w:val="20"/>
                <w:szCs w:val="20"/>
                <w:lang/>
                <w14:ligatures w14:val="none"/>
              </w:rPr>
              <w:lastRenderedPageBreak/>
              <w:t>подразделения областных, Минского городского исполнительных комитетов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31. Охрана окружающей среды и рациональное использование природных ресурсов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и районные инспекции природных ресурсов и охраны окружающей среды, областные, Минский городской комитеты природных ресурсов и охраны окружающей среды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государственные организации, подчиненные Министерству природных ресурсов и охраны окружающей среды</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природных ресурсов и охраны окружающей среды</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32. Использование, охрана, защита и воспроизводство лесов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юридические лица, ведущие лесное хозяйство, – государственные лесохозяйственные учреждения, подчиненные Министерству лесного хозяйства, государственные лесохозяйственные учреждения, подчиненные Министерству обороны, экспериментальные лесные базы, подчиненные Национальной академии наук Беларуси, учебно-опытные лесхозы, подчиненные Министерству образования, государственные природоохранные учреждения, осуществляющие управление заповедниками и национальными парками, лесохозяйственные организации, подчиненные Управлению делами Президента Республики Беларусь, государственное природоохранное научно-исследовательское учреждение «Полесский государственный радиационно-экологический заповедник», подчиненное Министерству природных ресурсов и охраны окружающей среды, организации, подчиненные городским (городов областного подчинения и г. Минска) исполнительным и распорядительным органам, в компетенцию которых входит ведение лесопаркового хозяйства</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государственные производственные лесохозяйственные объединения, подчиненные Министерству лесного хозяйства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лесного хозяйства</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обороны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Национальная академия наук Беларуси</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образования</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Управление делами Президента Республики Беларусь</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природных ресурсов и охраны окружающей среды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 xml:space="preserve">городские (городов областного подчинения и г. Минска) исполнительные комитеты </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33. Сфера массовой информации, издательской, полиграфической деятельности, деятельности по распространению печатных изданий и продукции средств массовой информации</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осуществляющие государственно-властные полномочия в сфере идеологической работы и по делам молодежи структурные подразделения областных, Минского городского исполнительных комитетов</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информации</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34. Страхование, в том числе: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страховая деятельность</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применение законодательства о страховании</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страховые выплаты по видам обязательного страхования</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медицинское страхование</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страхование имущества юридических лиц и граждан, другие виды добровольного страхования</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jc w:val="center"/>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lastRenderedPageBreak/>
              <w:t>–</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Министерство финансов</w:t>
            </w:r>
          </w:p>
        </w:tc>
      </w:tr>
      <w:tr w:rsidR="00C55242" w:rsidRPr="00C55242" w:rsidTr="00C55242">
        <w:trPr>
          <w:trHeight w:val="240"/>
        </w:trPr>
        <w:tc>
          <w:tcPr>
            <w:tcW w:w="166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35. Деятельность организаций застройщиков, гаражно-строительных кооперативов и кооперативов, осуществляющих эксплуатацию автомобильных стоянок, садоводческих товариществ, дачных кооперативов</w:t>
            </w:r>
          </w:p>
        </w:tc>
        <w:tc>
          <w:tcPr>
            <w:tcW w:w="2142"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местные администрации районов в городах</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районные исполнительные комитеты</w:t>
            </w:r>
          </w:p>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городские (городов областного подчинения) исполнительные комитеты</w:t>
            </w:r>
          </w:p>
        </w:tc>
        <w:tc>
          <w:tcPr>
            <w:tcW w:w="1196" w:type="pct"/>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tc>
      </w:tr>
      <w:tr w:rsidR="00C55242" w:rsidRPr="00C55242" w:rsidTr="00C55242">
        <w:trPr>
          <w:trHeight w:val="240"/>
        </w:trPr>
        <w:tc>
          <w:tcPr>
            <w:tcW w:w="1662" w:type="pct"/>
            <w:tcBorders>
              <w:bottom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36. Реализация законодательства о книге замечаний и предложений</w:t>
            </w:r>
          </w:p>
        </w:tc>
        <w:tc>
          <w:tcPr>
            <w:tcW w:w="2142" w:type="pct"/>
            <w:tcBorders>
              <w:bottom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структурные подразделения по работе с обращениями граждан и юридических лиц:</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местных администраций районов в городах</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районных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городских (городов областного подчинения) исполнительных комитетов</w:t>
            </w:r>
          </w:p>
          <w:p w:rsidR="00C55242" w:rsidRPr="00C55242" w:rsidRDefault="00C55242" w:rsidP="00C55242">
            <w:pPr>
              <w:spacing w:before="120" w:after="0" w:line="240" w:lineRule="auto"/>
              <w:ind w:left="283"/>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областных, Минского городского исполнительных комитетов</w:t>
            </w:r>
          </w:p>
        </w:tc>
        <w:tc>
          <w:tcPr>
            <w:tcW w:w="1196" w:type="pct"/>
            <w:tcBorders>
              <w:bottom w:val="single" w:sz="4" w:space="0" w:color="auto"/>
            </w:tcBorders>
            <w:tcMar>
              <w:top w:w="0" w:type="dxa"/>
              <w:left w:w="6" w:type="dxa"/>
              <w:bottom w:w="0" w:type="dxa"/>
              <w:right w:w="6" w:type="dxa"/>
            </w:tcMar>
            <w:hideMark/>
          </w:tcPr>
          <w:p w:rsidR="00C55242" w:rsidRPr="00C55242" w:rsidRDefault="00C55242" w:rsidP="00C55242">
            <w:pPr>
              <w:spacing w:before="120" w:after="0" w:line="240" w:lineRule="auto"/>
              <w:rPr>
                <w:rFonts w:ascii="Times New Roman" w:eastAsia="Times New Roman" w:hAnsi="Times New Roman" w:cs="Times New Roman"/>
                <w:kern w:val="0"/>
                <w:sz w:val="20"/>
                <w:szCs w:val="20"/>
                <w:lang/>
                <w14:ligatures w14:val="none"/>
              </w:rPr>
            </w:pPr>
            <w:r w:rsidRPr="00C55242">
              <w:rPr>
                <w:rFonts w:ascii="Times New Roman" w:eastAsia="Times New Roman" w:hAnsi="Times New Roman" w:cs="Times New Roman"/>
                <w:kern w:val="0"/>
                <w:sz w:val="20"/>
                <w:szCs w:val="20"/>
                <w:lang/>
                <w14:ligatures w14:val="none"/>
              </w:rPr>
              <w:t>областные, Минский городской исполнительные комитеты</w:t>
            </w:r>
          </w:p>
        </w:tc>
      </w:tr>
    </w:tbl>
    <w:p w:rsidR="00C55242" w:rsidRPr="00C55242" w:rsidRDefault="00C55242" w:rsidP="00C55242">
      <w:pPr>
        <w:spacing w:after="0" w:line="240" w:lineRule="auto"/>
        <w:ind w:firstLine="567"/>
        <w:jc w:val="both"/>
        <w:rPr>
          <w:rFonts w:ascii="Times New Roman" w:eastAsia="Times New Roman" w:hAnsi="Times New Roman" w:cs="Times New Roman"/>
          <w:kern w:val="0"/>
          <w:sz w:val="24"/>
          <w:szCs w:val="24"/>
          <w:lang w:val="ru-RU"/>
          <w14:ligatures w14:val="none"/>
        </w:rPr>
      </w:pPr>
      <w:r w:rsidRPr="00C55242">
        <w:rPr>
          <w:rFonts w:ascii="Times New Roman" w:eastAsia="Times New Roman" w:hAnsi="Times New Roman" w:cs="Times New Roman"/>
          <w:kern w:val="0"/>
          <w:sz w:val="24"/>
          <w:szCs w:val="24"/>
          <w:lang w:val="ru-RU"/>
          <w14:ligatures w14:val="none"/>
        </w:rPr>
        <w:t> </w:t>
      </w:r>
    </w:p>
    <w:p w:rsidR="00492FFC" w:rsidRPr="00C55242" w:rsidRDefault="00492FFC">
      <w:pPr>
        <w:rPr>
          <w:lang w:val="ru-RU"/>
        </w:rPr>
      </w:pPr>
      <w:bookmarkStart w:id="0" w:name="_GoBack"/>
      <w:bookmarkEnd w:id="0"/>
    </w:p>
    <w:sectPr w:rsidR="00492FFC" w:rsidRPr="00C552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42"/>
    <w:rsid w:val="00161469"/>
    <w:rsid w:val="003E07AD"/>
    <w:rsid w:val="00492FFC"/>
    <w:rsid w:val="00C5524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94F782-AE46-4AE4-A13B-C6C1C32CA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6546924">
      <w:bodyDiv w:val="1"/>
      <w:marLeft w:val="0"/>
      <w:marRight w:val="0"/>
      <w:marTop w:val="0"/>
      <w:marBottom w:val="0"/>
      <w:divBdr>
        <w:top w:val="none" w:sz="0" w:space="0" w:color="auto"/>
        <w:left w:val="none" w:sz="0" w:space="0" w:color="auto"/>
        <w:bottom w:val="none" w:sz="0" w:space="0" w:color="auto"/>
        <w:right w:val="none" w:sz="0" w:space="0" w:color="auto"/>
      </w:divBdr>
      <w:divsChild>
        <w:div w:id="368340608">
          <w:marLeft w:val="0"/>
          <w:marRight w:val="0"/>
          <w:marTop w:val="0"/>
          <w:marBottom w:val="0"/>
          <w:divBdr>
            <w:top w:val="none" w:sz="0" w:space="0" w:color="auto"/>
            <w:left w:val="none" w:sz="0" w:space="0" w:color="auto"/>
            <w:bottom w:val="none" w:sz="0" w:space="0" w:color="auto"/>
            <w:right w:val="none" w:sz="0" w:space="0" w:color="auto"/>
          </w:divBdr>
        </w:div>
        <w:div w:id="755249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6498</Words>
  <Characters>37044</Characters>
  <Application>Microsoft Office Word</Application>
  <DocSecurity>0</DocSecurity>
  <Lines>308</Lines>
  <Paragraphs>86</Paragraphs>
  <ScaleCrop>false</ScaleCrop>
  <Company/>
  <LinksUpToDate>false</LinksUpToDate>
  <CharactersWithSpaces>43456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2026-02-26T12:35:00Z</dcterms:created>
  <dcterms:modified xsi:type="dcterms:W3CDTF">2026-02-26T12:35:00Z</dcterms:modified>
</cp:coreProperties>
</file>